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4A7F" w:rsidRDefault="00B04A7F" w:rsidP="00B04A7F">
      <w:pPr>
        <w:tabs>
          <w:tab w:val="left" w:pos="48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ПОСТАНОВЛЕНИЕ </w:t>
      </w:r>
    </w:p>
    <w:p w:rsidR="00B04A7F" w:rsidRPr="008B54E8" w:rsidRDefault="00B04A7F" w:rsidP="00B04A7F">
      <w:pPr>
        <w:tabs>
          <w:tab w:val="left" w:pos="48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ЗАКОНОДАТЕЛЬНОГО СОБРАНИЯ ЛЕНИНГРАДСКОЙ ОБЛАСТИ</w:t>
      </w:r>
    </w:p>
    <w:p w:rsidR="00B04A7F" w:rsidRPr="008B54E8" w:rsidRDefault="00B04A7F" w:rsidP="00B04A7F">
      <w:pPr>
        <w:tabs>
          <w:tab w:val="left" w:pos="480"/>
        </w:tabs>
        <w:jc w:val="both"/>
        <w:rPr>
          <w:sz w:val="28"/>
          <w:szCs w:val="28"/>
        </w:rPr>
      </w:pPr>
    </w:p>
    <w:p w:rsidR="0021176A" w:rsidRPr="00B04A7F" w:rsidRDefault="0021176A" w:rsidP="0021176A">
      <w:pPr>
        <w:rPr>
          <w:sz w:val="28"/>
        </w:rPr>
      </w:pPr>
    </w:p>
    <w:p w:rsidR="0021176A" w:rsidRPr="00B04A7F" w:rsidRDefault="0021176A" w:rsidP="0021176A">
      <w:pPr>
        <w:rPr>
          <w:sz w:val="28"/>
        </w:rPr>
      </w:pPr>
    </w:p>
    <w:p w:rsidR="0021176A" w:rsidRPr="0021176A" w:rsidRDefault="0021176A" w:rsidP="0021176A">
      <w:pPr>
        <w:ind w:right="566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от 26 мая 2021 года  №</w:t>
      </w:r>
      <w:r w:rsidR="00F12E7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26</w:t>
      </w:r>
      <w:r w:rsidRPr="0021176A">
        <w:rPr>
          <w:bCs/>
          <w:sz w:val="28"/>
          <w:szCs w:val="28"/>
        </w:rPr>
        <w:t>7</w:t>
      </w:r>
    </w:p>
    <w:p w:rsidR="0021176A" w:rsidRPr="00676E12" w:rsidRDefault="0021176A" w:rsidP="0021176A">
      <w:pPr>
        <w:ind w:right="566"/>
        <w:rPr>
          <w:sz w:val="18"/>
          <w:szCs w:val="20"/>
        </w:rPr>
      </w:pPr>
    </w:p>
    <w:p w:rsidR="0021176A" w:rsidRPr="00676E12" w:rsidRDefault="0021176A" w:rsidP="0021176A">
      <w:pPr>
        <w:ind w:right="566"/>
        <w:rPr>
          <w:sz w:val="18"/>
          <w:szCs w:val="20"/>
        </w:rPr>
      </w:pPr>
    </w:p>
    <w:p w:rsidR="005346F4" w:rsidRPr="0021176A" w:rsidRDefault="005346F4" w:rsidP="0021176A">
      <w:pPr>
        <w:pStyle w:val="a5"/>
        <w:ind w:right="566"/>
        <w:jc w:val="center"/>
        <w:rPr>
          <w:rFonts w:ascii="Times New Roman" w:hAnsi="Times New Roman"/>
          <w:b/>
          <w:sz w:val="26"/>
          <w:szCs w:val="26"/>
        </w:rPr>
      </w:pPr>
      <w:bookmarkStart w:id="0" w:name="_GoBack"/>
      <w:r w:rsidRPr="0021176A">
        <w:rPr>
          <w:rFonts w:ascii="Times New Roman" w:hAnsi="Times New Roman"/>
          <w:b/>
          <w:sz w:val="26"/>
          <w:szCs w:val="26"/>
        </w:rPr>
        <w:t>Об обращении Законодательного собрания Ленинградской области</w:t>
      </w:r>
      <w:r w:rsidR="0021176A" w:rsidRPr="0021176A">
        <w:rPr>
          <w:rFonts w:ascii="Times New Roman" w:hAnsi="Times New Roman"/>
          <w:b/>
          <w:sz w:val="26"/>
          <w:szCs w:val="26"/>
        </w:rPr>
        <w:t xml:space="preserve"> </w:t>
      </w:r>
      <w:r w:rsidRPr="0021176A">
        <w:rPr>
          <w:rFonts w:ascii="Times New Roman" w:hAnsi="Times New Roman"/>
          <w:b/>
          <w:sz w:val="26"/>
          <w:szCs w:val="26"/>
        </w:rPr>
        <w:t>к</w:t>
      </w:r>
      <w:r w:rsidR="00F12E7E">
        <w:rPr>
          <w:rFonts w:ascii="Times New Roman" w:hAnsi="Times New Roman"/>
          <w:b/>
          <w:sz w:val="26"/>
          <w:szCs w:val="26"/>
        </w:rPr>
        <w:t xml:space="preserve"> </w:t>
      </w:r>
      <w:r w:rsidRPr="0021176A">
        <w:rPr>
          <w:rFonts w:ascii="Times New Roman" w:hAnsi="Times New Roman"/>
          <w:b/>
          <w:sz w:val="26"/>
          <w:szCs w:val="26"/>
        </w:rPr>
        <w:t>Министру энергетики Российской Федерации Н.Г.</w:t>
      </w:r>
      <w:r w:rsidR="00F12E7E">
        <w:rPr>
          <w:rFonts w:ascii="Times New Roman" w:hAnsi="Times New Roman"/>
          <w:b/>
          <w:sz w:val="26"/>
          <w:szCs w:val="26"/>
        </w:rPr>
        <w:t xml:space="preserve"> </w:t>
      </w:r>
      <w:r w:rsidRPr="0021176A">
        <w:rPr>
          <w:rFonts w:ascii="Times New Roman" w:hAnsi="Times New Roman"/>
          <w:b/>
          <w:sz w:val="26"/>
          <w:szCs w:val="26"/>
        </w:rPr>
        <w:t>Шульгинову по</w:t>
      </w:r>
      <w:r w:rsidR="00F12E7E">
        <w:rPr>
          <w:rFonts w:ascii="Times New Roman" w:hAnsi="Times New Roman"/>
          <w:b/>
          <w:sz w:val="26"/>
          <w:szCs w:val="26"/>
        </w:rPr>
        <w:t xml:space="preserve"> </w:t>
      </w:r>
      <w:r w:rsidRPr="0021176A">
        <w:rPr>
          <w:rFonts w:ascii="Times New Roman" w:hAnsi="Times New Roman"/>
          <w:b/>
          <w:sz w:val="26"/>
          <w:szCs w:val="26"/>
        </w:rPr>
        <w:t>вопросу внесения изменений в Основные положения функционирования розничных рынков электрической энергии, утвержденные постановлением Правительства Российской Федерации от 4 мая 2012 года №442, в</w:t>
      </w:r>
      <w:r w:rsidR="00F12E7E">
        <w:rPr>
          <w:rFonts w:ascii="Times New Roman" w:hAnsi="Times New Roman"/>
          <w:b/>
          <w:sz w:val="26"/>
          <w:szCs w:val="26"/>
        </w:rPr>
        <w:t xml:space="preserve"> </w:t>
      </w:r>
      <w:r w:rsidRPr="0021176A">
        <w:rPr>
          <w:rFonts w:ascii="Times New Roman" w:hAnsi="Times New Roman"/>
          <w:b/>
          <w:sz w:val="26"/>
          <w:szCs w:val="26"/>
        </w:rPr>
        <w:t>части</w:t>
      </w:r>
      <w:r w:rsidR="00F12E7E">
        <w:rPr>
          <w:rFonts w:ascii="Times New Roman" w:hAnsi="Times New Roman"/>
          <w:b/>
          <w:sz w:val="26"/>
          <w:szCs w:val="26"/>
        </w:rPr>
        <w:t xml:space="preserve"> </w:t>
      </w:r>
      <w:r w:rsidRPr="0021176A">
        <w:rPr>
          <w:rFonts w:ascii="Times New Roman" w:hAnsi="Times New Roman"/>
          <w:b/>
          <w:sz w:val="26"/>
          <w:szCs w:val="26"/>
        </w:rPr>
        <w:t>предоставления гарантирующим поставщикам права на</w:t>
      </w:r>
      <w:r w:rsidR="00F12E7E">
        <w:rPr>
          <w:rFonts w:ascii="Times New Roman" w:hAnsi="Times New Roman"/>
          <w:b/>
          <w:sz w:val="26"/>
          <w:szCs w:val="26"/>
        </w:rPr>
        <w:t xml:space="preserve"> </w:t>
      </w:r>
      <w:r w:rsidRPr="0021176A">
        <w:rPr>
          <w:rFonts w:ascii="Times New Roman" w:hAnsi="Times New Roman"/>
          <w:b/>
          <w:sz w:val="26"/>
          <w:szCs w:val="26"/>
        </w:rPr>
        <w:t>одностороннее расторжение договора энергоснабжения, заключенного</w:t>
      </w:r>
      <w:r w:rsidR="00F12E7E">
        <w:rPr>
          <w:rFonts w:ascii="Times New Roman" w:hAnsi="Times New Roman"/>
          <w:b/>
          <w:sz w:val="26"/>
          <w:szCs w:val="26"/>
        </w:rPr>
        <w:t xml:space="preserve"> </w:t>
      </w:r>
      <w:r w:rsidRPr="0021176A">
        <w:rPr>
          <w:rFonts w:ascii="Times New Roman" w:hAnsi="Times New Roman"/>
          <w:b/>
          <w:sz w:val="26"/>
          <w:szCs w:val="26"/>
        </w:rPr>
        <w:t>с</w:t>
      </w:r>
      <w:r w:rsidR="00F12E7E">
        <w:rPr>
          <w:rFonts w:ascii="Times New Roman" w:hAnsi="Times New Roman"/>
          <w:b/>
          <w:sz w:val="26"/>
          <w:szCs w:val="26"/>
        </w:rPr>
        <w:t xml:space="preserve"> </w:t>
      </w:r>
      <w:r w:rsidRPr="0021176A">
        <w:rPr>
          <w:rFonts w:ascii="Times New Roman" w:hAnsi="Times New Roman"/>
          <w:b/>
          <w:sz w:val="26"/>
          <w:szCs w:val="26"/>
        </w:rPr>
        <w:t>садоводческим некоммерческим товариществом</w:t>
      </w:r>
    </w:p>
    <w:bookmarkEnd w:id="0"/>
    <w:p w:rsidR="005346F4" w:rsidRPr="00435235" w:rsidRDefault="005346F4" w:rsidP="0021176A">
      <w:pPr>
        <w:ind w:firstLine="709"/>
        <w:jc w:val="both"/>
      </w:pPr>
    </w:p>
    <w:p w:rsidR="0021176A" w:rsidRPr="00435235" w:rsidRDefault="0021176A" w:rsidP="0021176A">
      <w:pPr>
        <w:ind w:firstLine="709"/>
        <w:jc w:val="both"/>
      </w:pPr>
    </w:p>
    <w:p w:rsidR="00676E12" w:rsidRPr="00676E12" w:rsidRDefault="00676E12" w:rsidP="00676E12">
      <w:pPr>
        <w:pStyle w:val="2"/>
        <w:spacing w:after="0" w:line="240" w:lineRule="auto"/>
        <w:ind w:left="0" w:firstLine="709"/>
        <w:rPr>
          <w:sz w:val="28"/>
          <w:szCs w:val="28"/>
        </w:rPr>
      </w:pPr>
      <w:r w:rsidRPr="00676E12">
        <w:rPr>
          <w:sz w:val="28"/>
          <w:szCs w:val="28"/>
        </w:rPr>
        <w:t>Законодательное собрание Ленинградской области     п о с т а н о в л я е т:</w:t>
      </w:r>
    </w:p>
    <w:p w:rsidR="0021176A" w:rsidRPr="00435235" w:rsidRDefault="0021176A" w:rsidP="0021176A">
      <w:pPr>
        <w:ind w:firstLine="709"/>
        <w:jc w:val="both"/>
        <w:rPr>
          <w:sz w:val="22"/>
          <w:szCs w:val="28"/>
        </w:rPr>
      </w:pPr>
    </w:p>
    <w:p w:rsidR="0021176A" w:rsidRPr="0021176A" w:rsidRDefault="0021176A" w:rsidP="0021176A">
      <w:pPr>
        <w:ind w:firstLine="709"/>
        <w:jc w:val="both"/>
        <w:rPr>
          <w:sz w:val="28"/>
          <w:szCs w:val="28"/>
        </w:rPr>
      </w:pPr>
      <w:r w:rsidRPr="0021176A">
        <w:rPr>
          <w:sz w:val="28"/>
          <w:szCs w:val="28"/>
        </w:rPr>
        <w:t>1. </w:t>
      </w:r>
      <w:r w:rsidR="005346F4" w:rsidRPr="0021176A">
        <w:rPr>
          <w:sz w:val="28"/>
          <w:szCs w:val="28"/>
        </w:rPr>
        <w:t>Утвердить прилагаемое обращение Законодательного собрания Ленинградской области к Министру энергетики Российской Федерации Н.Г.</w:t>
      </w:r>
      <w:r w:rsidR="00676E12">
        <w:rPr>
          <w:sz w:val="28"/>
          <w:szCs w:val="28"/>
          <w:lang w:val="en-US"/>
        </w:rPr>
        <w:t> </w:t>
      </w:r>
      <w:r w:rsidR="005346F4" w:rsidRPr="0021176A">
        <w:rPr>
          <w:sz w:val="28"/>
          <w:szCs w:val="28"/>
        </w:rPr>
        <w:t>Шульгинову по вопросу внесения изменений в Основные положения функционирования розничных рынков электрической энергии, утвержденны</w:t>
      </w:r>
      <w:r w:rsidR="00B916FF" w:rsidRPr="0021176A">
        <w:rPr>
          <w:sz w:val="28"/>
          <w:szCs w:val="28"/>
        </w:rPr>
        <w:t>е</w:t>
      </w:r>
      <w:r w:rsidR="005346F4" w:rsidRPr="0021176A">
        <w:rPr>
          <w:sz w:val="28"/>
          <w:szCs w:val="28"/>
        </w:rPr>
        <w:t xml:space="preserve"> постановлением Правит</w:t>
      </w:r>
      <w:r w:rsidR="00B916FF" w:rsidRPr="0021176A">
        <w:rPr>
          <w:sz w:val="28"/>
          <w:szCs w:val="28"/>
        </w:rPr>
        <w:t xml:space="preserve">ельства Российской Федерации от </w:t>
      </w:r>
      <w:r w:rsidR="005346F4" w:rsidRPr="0021176A">
        <w:rPr>
          <w:sz w:val="28"/>
          <w:szCs w:val="28"/>
        </w:rPr>
        <w:t>4 мая 2012 года</w:t>
      </w:r>
      <w:r w:rsidR="00B916FF" w:rsidRPr="0021176A">
        <w:rPr>
          <w:sz w:val="28"/>
          <w:szCs w:val="28"/>
        </w:rPr>
        <w:t xml:space="preserve"> </w:t>
      </w:r>
      <w:r w:rsidR="005346F4" w:rsidRPr="0021176A">
        <w:rPr>
          <w:sz w:val="28"/>
          <w:szCs w:val="28"/>
        </w:rPr>
        <w:t>№</w:t>
      </w:r>
      <w:r w:rsidR="00676E12">
        <w:rPr>
          <w:sz w:val="28"/>
          <w:szCs w:val="28"/>
          <w:lang w:val="en-US"/>
        </w:rPr>
        <w:t> </w:t>
      </w:r>
      <w:r w:rsidR="005346F4" w:rsidRPr="0021176A">
        <w:rPr>
          <w:sz w:val="28"/>
          <w:szCs w:val="28"/>
        </w:rPr>
        <w:t xml:space="preserve">442, в части предоставления гарантирующим поставщикам права </w:t>
      </w:r>
      <w:r w:rsidR="00676E12" w:rsidRPr="00676E12">
        <w:rPr>
          <w:sz w:val="28"/>
          <w:szCs w:val="28"/>
        </w:rPr>
        <w:br/>
      </w:r>
      <w:r w:rsidR="005346F4" w:rsidRPr="0021176A">
        <w:rPr>
          <w:sz w:val="28"/>
          <w:szCs w:val="28"/>
        </w:rPr>
        <w:t>на одностороннее расторжение договора энергоснабжения, заключенного с</w:t>
      </w:r>
      <w:r w:rsidR="00676E12">
        <w:rPr>
          <w:sz w:val="28"/>
          <w:szCs w:val="28"/>
          <w:lang w:val="en-US"/>
        </w:rPr>
        <w:t> </w:t>
      </w:r>
      <w:r w:rsidR="005346F4" w:rsidRPr="0021176A">
        <w:rPr>
          <w:sz w:val="28"/>
          <w:szCs w:val="28"/>
        </w:rPr>
        <w:t xml:space="preserve">садоводческим некоммерческим товариществом. </w:t>
      </w:r>
    </w:p>
    <w:p w:rsidR="0021176A" w:rsidRPr="00435235" w:rsidRDefault="0021176A" w:rsidP="0021176A">
      <w:pPr>
        <w:ind w:firstLine="709"/>
        <w:jc w:val="both"/>
        <w:rPr>
          <w:sz w:val="22"/>
          <w:szCs w:val="28"/>
        </w:rPr>
      </w:pPr>
    </w:p>
    <w:p w:rsidR="0021176A" w:rsidRPr="0021176A" w:rsidRDefault="0021176A" w:rsidP="0021176A">
      <w:pPr>
        <w:ind w:firstLine="709"/>
        <w:jc w:val="both"/>
        <w:rPr>
          <w:sz w:val="28"/>
          <w:szCs w:val="28"/>
        </w:rPr>
      </w:pPr>
      <w:r w:rsidRPr="0021176A">
        <w:rPr>
          <w:sz w:val="28"/>
          <w:szCs w:val="28"/>
        </w:rPr>
        <w:t>2. </w:t>
      </w:r>
      <w:r w:rsidR="005346F4" w:rsidRPr="0021176A">
        <w:rPr>
          <w:sz w:val="28"/>
          <w:szCs w:val="28"/>
        </w:rPr>
        <w:t>Направить настоящее постановление и указанное обращение Министру энергетики Российской Федерации Н.Г.</w:t>
      </w:r>
      <w:r w:rsidR="00676E12">
        <w:rPr>
          <w:sz w:val="28"/>
          <w:szCs w:val="28"/>
          <w:lang w:val="en-US"/>
        </w:rPr>
        <w:t> </w:t>
      </w:r>
      <w:r w:rsidR="005346F4" w:rsidRPr="0021176A">
        <w:rPr>
          <w:sz w:val="28"/>
          <w:szCs w:val="28"/>
        </w:rPr>
        <w:t>Шульгинову.</w:t>
      </w:r>
    </w:p>
    <w:p w:rsidR="0021176A" w:rsidRPr="00435235" w:rsidRDefault="0021176A" w:rsidP="0021176A">
      <w:pPr>
        <w:ind w:firstLine="709"/>
        <w:jc w:val="both"/>
        <w:rPr>
          <w:sz w:val="22"/>
          <w:szCs w:val="28"/>
        </w:rPr>
      </w:pPr>
    </w:p>
    <w:p w:rsidR="008A6938" w:rsidRPr="0021176A" w:rsidRDefault="0021176A" w:rsidP="0021176A">
      <w:pPr>
        <w:ind w:firstLine="709"/>
        <w:jc w:val="both"/>
        <w:rPr>
          <w:sz w:val="28"/>
          <w:szCs w:val="28"/>
        </w:rPr>
      </w:pPr>
      <w:r w:rsidRPr="0021176A">
        <w:rPr>
          <w:sz w:val="28"/>
          <w:szCs w:val="28"/>
        </w:rPr>
        <w:t>3. </w:t>
      </w:r>
      <w:r w:rsidR="008A6938" w:rsidRPr="0021176A">
        <w:rPr>
          <w:sz w:val="28"/>
          <w:szCs w:val="28"/>
        </w:rPr>
        <w:t>Обратиться к законодательным (представительным) органам государственной власти субъектов Российской Федерации с просьбой поддержать указанное обращение.</w:t>
      </w:r>
    </w:p>
    <w:p w:rsidR="00BE3B14" w:rsidRPr="00435235" w:rsidRDefault="00BE3B14" w:rsidP="0021176A">
      <w:pPr>
        <w:ind w:firstLine="709"/>
        <w:jc w:val="both"/>
        <w:rPr>
          <w:sz w:val="22"/>
          <w:szCs w:val="20"/>
        </w:rPr>
      </w:pPr>
    </w:p>
    <w:p w:rsidR="005346F4" w:rsidRPr="00676E12" w:rsidRDefault="008A6938" w:rsidP="00676E12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676E12">
        <w:rPr>
          <w:sz w:val="28"/>
          <w:szCs w:val="28"/>
        </w:rPr>
        <w:t>4</w:t>
      </w:r>
      <w:r w:rsidR="005346F4" w:rsidRPr="00676E12">
        <w:rPr>
          <w:sz w:val="28"/>
          <w:szCs w:val="28"/>
        </w:rPr>
        <w:t>. Постановление вступает в силу со дня его принятия.</w:t>
      </w:r>
    </w:p>
    <w:p w:rsidR="00676E12" w:rsidRPr="00435235" w:rsidRDefault="00676E12" w:rsidP="00676E12">
      <w:pPr>
        <w:pStyle w:val="2"/>
        <w:spacing w:after="0" w:line="240" w:lineRule="auto"/>
        <w:ind w:left="0" w:firstLine="709"/>
        <w:rPr>
          <w:sz w:val="22"/>
          <w:szCs w:val="28"/>
        </w:rPr>
      </w:pPr>
    </w:p>
    <w:p w:rsidR="00676E12" w:rsidRPr="00435235" w:rsidRDefault="00676E12" w:rsidP="00676E12">
      <w:pPr>
        <w:pStyle w:val="2"/>
        <w:spacing w:after="0" w:line="240" w:lineRule="auto"/>
        <w:ind w:left="0" w:firstLine="709"/>
        <w:rPr>
          <w:sz w:val="22"/>
          <w:szCs w:val="28"/>
        </w:rPr>
      </w:pPr>
    </w:p>
    <w:p w:rsidR="00676E12" w:rsidRPr="00435235" w:rsidRDefault="00676E12" w:rsidP="00676E12">
      <w:pPr>
        <w:pStyle w:val="2"/>
        <w:spacing w:after="0" w:line="240" w:lineRule="auto"/>
        <w:ind w:left="0" w:firstLine="709"/>
        <w:rPr>
          <w:sz w:val="22"/>
          <w:szCs w:val="28"/>
        </w:rPr>
      </w:pPr>
    </w:p>
    <w:p w:rsidR="00676E12" w:rsidRPr="00464B87" w:rsidRDefault="00676E12" w:rsidP="00676E12">
      <w:pPr>
        <w:pStyle w:val="a8"/>
        <w:tabs>
          <w:tab w:val="right" w:pos="9639"/>
        </w:tabs>
        <w:spacing w:after="0"/>
        <w:ind w:left="0"/>
        <w:rPr>
          <w:sz w:val="28"/>
          <w:szCs w:val="28"/>
        </w:rPr>
      </w:pPr>
      <w:r w:rsidRPr="00676E12">
        <w:rPr>
          <w:sz w:val="28"/>
          <w:szCs w:val="28"/>
        </w:rPr>
        <w:t xml:space="preserve">Председатель </w:t>
      </w:r>
      <w:r w:rsidRPr="00676E12">
        <w:rPr>
          <w:sz w:val="28"/>
          <w:szCs w:val="28"/>
        </w:rPr>
        <w:br/>
        <w:t>Законодательного собрания</w:t>
      </w:r>
      <w:r w:rsidRPr="00676E12">
        <w:rPr>
          <w:sz w:val="28"/>
          <w:szCs w:val="28"/>
        </w:rPr>
        <w:tab/>
        <w:t>С. Бебенин</w:t>
      </w:r>
    </w:p>
    <w:p w:rsidR="00676E12" w:rsidRPr="00464B87" w:rsidRDefault="00676E12" w:rsidP="00676E12">
      <w:pPr>
        <w:pStyle w:val="a8"/>
        <w:tabs>
          <w:tab w:val="right" w:pos="9639"/>
        </w:tabs>
        <w:spacing w:after="0"/>
        <w:ind w:left="0"/>
        <w:rPr>
          <w:sz w:val="28"/>
          <w:szCs w:val="28"/>
        </w:rPr>
        <w:sectPr w:rsidR="00676E12" w:rsidRPr="00464B87" w:rsidSect="00435235">
          <w:headerReference w:type="default" r:id="rId7"/>
          <w:pgSz w:w="11906" w:h="16838"/>
          <w:pgMar w:top="1134" w:right="737" w:bottom="1134" w:left="1531" w:header="709" w:footer="709" w:gutter="0"/>
          <w:cols w:space="708"/>
          <w:titlePg/>
          <w:docGrid w:linePitch="360"/>
        </w:sectPr>
      </w:pPr>
    </w:p>
    <w:p w:rsidR="005346F4" w:rsidRPr="00676E12" w:rsidRDefault="005346F4" w:rsidP="00676E12">
      <w:pPr>
        <w:tabs>
          <w:tab w:val="left" w:pos="709"/>
        </w:tabs>
        <w:ind w:left="6237"/>
        <w:rPr>
          <w:bCs/>
        </w:rPr>
      </w:pPr>
      <w:r w:rsidRPr="00676E12">
        <w:rPr>
          <w:bCs/>
        </w:rPr>
        <w:lastRenderedPageBreak/>
        <w:t>УТВЕРЖДЕНО</w:t>
      </w:r>
    </w:p>
    <w:p w:rsidR="005346F4" w:rsidRPr="00676E12" w:rsidRDefault="005346F4" w:rsidP="00676E12">
      <w:pPr>
        <w:tabs>
          <w:tab w:val="left" w:pos="709"/>
        </w:tabs>
        <w:ind w:left="6237"/>
        <w:rPr>
          <w:bCs/>
        </w:rPr>
      </w:pPr>
      <w:r w:rsidRPr="00676E12">
        <w:rPr>
          <w:bCs/>
        </w:rPr>
        <w:t>постановлением</w:t>
      </w:r>
    </w:p>
    <w:p w:rsidR="005346F4" w:rsidRPr="00676E12" w:rsidRDefault="005346F4" w:rsidP="00676E12">
      <w:pPr>
        <w:tabs>
          <w:tab w:val="left" w:pos="709"/>
        </w:tabs>
        <w:ind w:left="6237"/>
        <w:rPr>
          <w:bCs/>
        </w:rPr>
      </w:pPr>
      <w:r w:rsidRPr="00676E12">
        <w:rPr>
          <w:bCs/>
        </w:rPr>
        <w:t xml:space="preserve">Законодательного собрания Ленинградской области </w:t>
      </w:r>
    </w:p>
    <w:p w:rsidR="005346F4" w:rsidRPr="00676E12" w:rsidRDefault="005346F4" w:rsidP="00676E12">
      <w:pPr>
        <w:tabs>
          <w:tab w:val="left" w:pos="709"/>
        </w:tabs>
        <w:ind w:left="6237"/>
        <w:rPr>
          <w:bCs/>
        </w:rPr>
      </w:pPr>
      <w:r w:rsidRPr="00676E12">
        <w:rPr>
          <w:bCs/>
        </w:rPr>
        <w:t>от 26 мая 2021 года №</w:t>
      </w:r>
      <w:r w:rsidR="00676E12" w:rsidRPr="00676E12">
        <w:rPr>
          <w:bCs/>
          <w:lang w:val="en-US"/>
        </w:rPr>
        <w:t> </w:t>
      </w:r>
      <w:r w:rsidR="00676E12" w:rsidRPr="00676E12">
        <w:rPr>
          <w:bCs/>
        </w:rPr>
        <w:t>267</w:t>
      </w:r>
    </w:p>
    <w:p w:rsidR="005346F4" w:rsidRPr="00676E12" w:rsidRDefault="005346F4" w:rsidP="00676E12">
      <w:pPr>
        <w:pStyle w:val="a3"/>
        <w:tabs>
          <w:tab w:val="left" w:pos="6237"/>
        </w:tabs>
        <w:spacing w:before="0" w:beforeAutospacing="0" w:after="0" w:afterAutospacing="0"/>
        <w:ind w:left="6237"/>
        <w:rPr>
          <w:bCs/>
        </w:rPr>
      </w:pPr>
      <w:r w:rsidRPr="00676E12">
        <w:rPr>
          <w:bCs/>
        </w:rPr>
        <w:t>(приложение)</w:t>
      </w:r>
    </w:p>
    <w:p w:rsidR="005346F4" w:rsidRPr="0021176A" w:rsidRDefault="005346F4" w:rsidP="0021176A">
      <w:pPr>
        <w:ind w:firstLine="709"/>
        <w:jc w:val="both"/>
        <w:rPr>
          <w:sz w:val="28"/>
          <w:szCs w:val="28"/>
        </w:rPr>
      </w:pPr>
    </w:p>
    <w:p w:rsidR="005346F4" w:rsidRPr="0021176A" w:rsidRDefault="005346F4" w:rsidP="0021176A">
      <w:pPr>
        <w:ind w:firstLine="709"/>
        <w:jc w:val="both"/>
        <w:rPr>
          <w:sz w:val="28"/>
          <w:szCs w:val="28"/>
        </w:rPr>
      </w:pPr>
    </w:p>
    <w:p w:rsidR="005346F4" w:rsidRPr="0021176A" w:rsidRDefault="005346F4" w:rsidP="0021176A">
      <w:pPr>
        <w:ind w:firstLine="709"/>
        <w:jc w:val="both"/>
        <w:rPr>
          <w:sz w:val="28"/>
          <w:szCs w:val="28"/>
        </w:rPr>
      </w:pPr>
    </w:p>
    <w:p w:rsidR="005346F4" w:rsidRPr="0021176A" w:rsidRDefault="005346F4" w:rsidP="0021176A">
      <w:pPr>
        <w:ind w:firstLine="709"/>
        <w:jc w:val="both"/>
        <w:rPr>
          <w:sz w:val="28"/>
          <w:szCs w:val="28"/>
        </w:rPr>
      </w:pPr>
    </w:p>
    <w:p w:rsidR="005346F4" w:rsidRPr="00676E12" w:rsidRDefault="00676E12" w:rsidP="00676E12">
      <w:pPr>
        <w:pStyle w:val="a5"/>
        <w:jc w:val="center"/>
        <w:rPr>
          <w:rFonts w:ascii="Times New Roman" w:hAnsi="Times New Roman"/>
          <w:b/>
          <w:sz w:val="26"/>
          <w:szCs w:val="26"/>
        </w:rPr>
      </w:pPr>
      <w:r w:rsidRPr="00676E12">
        <w:rPr>
          <w:rFonts w:ascii="Times New Roman" w:hAnsi="Times New Roman"/>
          <w:b/>
          <w:sz w:val="26"/>
          <w:szCs w:val="26"/>
        </w:rPr>
        <w:t xml:space="preserve">ОБРАЩЕНИЕ </w:t>
      </w:r>
      <w:r w:rsidRPr="00676E12">
        <w:rPr>
          <w:rFonts w:ascii="Times New Roman" w:hAnsi="Times New Roman"/>
          <w:b/>
          <w:sz w:val="26"/>
          <w:szCs w:val="26"/>
        </w:rPr>
        <w:br/>
      </w:r>
      <w:r w:rsidR="005346F4" w:rsidRPr="00676E12">
        <w:rPr>
          <w:rFonts w:ascii="Times New Roman" w:hAnsi="Times New Roman"/>
          <w:b/>
          <w:sz w:val="26"/>
          <w:szCs w:val="26"/>
        </w:rPr>
        <w:t>Законодательного собрания Ленинградской области</w:t>
      </w:r>
      <w:r w:rsidRPr="00676E12">
        <w:rPr>
          <w:rFonts w:ascii="Times New Roman" w:hAnsi="Times New Roman"/>
          <w:b/>
          <w:sz w:val="26"/>
          <w:szCs w:val="26"/>
        </w:rPr>
        <w:t xml:space="preserve"> </w:t>
      </w:r>
      <w:r w:rsidR="005346F4" w:rsidRPr="00676E12">
        <w:rPr>
          <w:rFonts w:ascii="Times New Roman" w:hAnsi="Times New Roman"/>
          <w:b/>
          <w:sz w:val="26"/>
          <w:szCs w:val="26"/>
        </w:rPr>
        <w:t>к Министру энергетики</w:t>
      </w:r>
      <w:r>
        <w:rPr>
          <w:rFonts w:ascii="Times New Roman" w:hAnsi="Times New Roman"/>
          <w:b/>
          <w:sz w:val="26"/>
          <w:szCs w:val="26"/>
          <w:lang w:val="en-US"/>
        </w:rPr>
        <w:t> </w:t>
      </w:r>
      <w:r w:rsidR="005346F4" w:rsidRPr="00676E12">
        <w:rPr>
          <w:rFonts w:ascii="Times New Roman" w:hAnsi="Times New Roman"/>
          <w:b/>
          <w:sz w:val="26"/>
          <w:szCs w:val="26"/>
        </w:rPr>
        <w:t>Российской Федерации Н.Г.</w:t>
      </w:r>
      <w:r w:rsidRPr="00676E12">
        <w:rPr>
          <w:rFonts w:ascii="Times New Roman" w:hAnsi="Times New Roman"/>
          <w:b/>
          <w:sz w:val="26"/>
          <w:szCs w:val="26"/>
          <w:lang w:val="en-US"/>
        </w:rPr>
        <w:t> </w:t>
      </w:r>
      <w:r w:rsidR="005346F4" w:rsidRPr="00676E12">
        <w:rPr>
          <w:rFonts w:ascii="Times New Roman" w:hAnsi="Times New Roman"/>
          <w:b/>
          <w:sz w:val="26"/>
          <w:szCs w:val="26"/>
        </w:rPr>
        <w:t>Шульгинову по вопросу внесения</w:t>
      </w:r>
      <w:r>
        <w:rPr>
          <w:rFonts w:ascii="Times New Roman" w:hAnsi="Times New Roman"/>
          <w:b/>
          <w:sz w:val="26"/>
          <w:szCs w:val="26"/>
          <w:lang w:val="en-US"/>
        </w:rPr>
        <w:t> </w:t>
      </w:r>
      <w:r w:rsidR="005346F4" w:rsidRPr="00676E12">
        <w:rPr>
          <w:rFonts w:ascii="Times New Roman" w:hAnsi="Times New Roman"/>
          <w:b/>
          <w:sz w:val="26"/>
          <w:szCs w:val="26"/>
        </w:rPr>
        <w:t>изменений в Основные положения функционирования розничных рынков электрической энергии, утвержденные постановлением Правительства</w:t>
      </w:r>
      <w:r>
        <w:rPr>
          <w:rFonts w:ascii="Times New Roman" w:hAnsi="Times New Roman"/>
          <w:b/>
          <w:sz w:val="26"/>
          <w:szCs w:val="26"/>
          <w:lang w:val="en-US"/>
        </w:rPr>
        <w:t> </w:t>
      </w:r>
      <w:r w:rsidR="005346F4" w:rsidRPr="00676E12">
        <w:rPr>
          <w:rFonts w:ascii="Times New Roman" w:hAnsi="Times New Roman"/>
          <w:b/>
          <w:sz w:val="26"/>
          <w:szCs w:val="26"/>
        </w:rPr>
        <w:t>Российской Федерации от 4 мая 2012 года №</w:t>
      </w:r>
      <w:r w:rsidRPr="00676E12">
        <w:rPr>
          <w:rFonts w:ascii="Times New Roman" w:hAnsi="Times New Roman"/>
          <w:b/>
          <w:sz w:val="26"/>
          <w:szCs w:val="26"/>
          <w:lang w:val="en-US"/>
        </w:rPr>
        <w:t> </w:t>
      </w:r>
      <w:r w:rsidR="005346F4" w:rsidRPr="00676E12">
        <w:rPr>
          <w:rFonts w:ascii="Times New Roman" w:hAnsi="Times New Roman"/>
          <w:b/>
          <w:sz w:val="26"/>
          <w:szCs w:val="26"/>
        </w:rPr>
        <w:t>442, в</w:t>
      </w:r>
      <w:r>
        <w:rPr>
          <w:rFonts w:ascii="Times New Roman" w:hAnsi="Times New Roman"/>
          <w:b/>
          <w:sz w:val="26"/>
          <w:szCs w:val="26"/>
          <w:lang w:val="en-US"/>
        </w:rPr>
        <w:t> </w:t>
      </w:r>
      <w:r w:rsidR="005346F4" w:rsidRPr="00676E12">
        <w:rPr>
          <w:rFonts w:ascii="Times New Roman" w:hAnsi="Times New Roman"/>
          <w:b/>
          <w:sz w:val="26"/>
          <w:szCs w:val="26"/>
        </w:rPr>
        <w:t>части</w:t>
      </w:r>
      <w:r>
        <w:rPr>
          <w:rFonts w:ascii="Times New Roman" w:hAnsi="Times New Roman"/>
          <w:b/>
          <w:sz w:val="26"/>
          <w:szCs w:val="26"/>
          <w:lang w:val="en-US"/>
        </w:rPr>
        <w:t> </w:t>
      </w:r>
      <w:r w:rsidR="005346F4" w:rsidRPr="00676E12">
        <w:rPr>
          <w:rFonts w:ascii="Times New Roman" w:hAnsi="Times New Roman"/>
          <w:b/>
          <w:sz w:val="26"/>
          <w:szCs w:val="26"/>
        </w:rPr>
        <w:t>предоставления гарантирующим поставщикам права на</w:t>
      </w:r>
      <w:r>
        <w:rPr>
          <w:rFonts w:ascii="Times New Roman" w:hAnsi="Times New Roman"/>
          <w:b/>
          <w:sz w:val="26"/>
          <w:szCs w:val="26"/>
          <w:lang w:val="en-US"/>
        </w:rPr>
        <w:t> </w:t>
      </w:r>
      <w:r w:rsidR="005346F4" w:rsidRPr="00676E12">
        <w:rPr>
          <w:rFonts w:ascii="Times New Roman" w:hAnsi="Times New Roman"/>
          <w:b/>
          <w:sz w:val="26"/>
          <w:szCs w:val="26"/>
        </w:rPr>
        <w:t>одностороннее</w:t>
      </w:r>
      <w:r>
        <w:rPr>
          <w:rFonts w:ascii="Times New Roman" w:hAnsi="Times New Roman"/>
          <w:b/>
          <w:sz w:val="26"/>
          <w:szCs w:val="26"/>
          <w:lang w:val="en-US"/>
        </w:rPr>
        <w:t> </w:t>
      </w:r>
      <w:r w:rsidR="005346F4" w:rsidRPr="00676E12">
        <w:rPr>
          <w:rFonts w:ascii="Times New Roman" w:hAnsi="Times New Roman"/>
          <w:b/>
          <w:sz w:val="26"/>
          <w:szCs w:val="26"/>
        </w:rPr>
        <w:t>расторжение договора энергоснабжения, заключенного</w:t>
      </w:r>
      <w:r>
        <w:rPr>
          <w:rFonts w:ascii="Times New Roman" w:hAnsi="Times New Roman"/>
          <w:b/>
          <w:sz w:val="26"/>
          <w:szCs w:val="26"/>
          <w:lang w:val="en-US"/>
        </w:rPr>
        <w:t> </w:t>
      </w:r>
      <w:r w:rsidR="005346F4" w:rsidRPr="00676E12">
        <w:rPr>
          <w:rFonts w:ascii="Times New Roman" w:hAnsi="Times New Roman"/>
          <w:b/>
          <w:sz w:val="26"/>
          <w:szCs w:val="26"/>
        </w:rPr>
        <w:t>с</w:t>
      </w:r>
      <w:r>
        <w:rPr>
          <w:rFonts w:ascii="Times New Roman" w:hAnsi="Times New Roman"/>
          <w:b/>
          <w:sz w:val="26"/>
          <w:szCs w:val="26"/>
          <w:lang w:val="en-US"/>
        </w:rPr>
        <w:t> </w:t>
      </w:r>
      <w:r w:rsidR="005346F4" w:rsidRPr="00676E12">
        <w:rPr>
          <w:rFonts w:ascii="Times New Roman" w:hAnsi="Times New Roman"/>
          <w:b/>
          <w:sz w:val="26"/>
          <w:szCs w:val="26"/>
        </w:rPr>
        <w:t>садоводческим некоммерческим товариществом</w:t>
      </w:r>
    </w:p>
    <w:p w:rsidR="005346F4" w:rsidRPr="00464B87" w:rsidRDefault="005346F4" w:rsidP="0021176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76E12" w:rsidRPr="00464B87" w:rsidRDefault="00676E12" w:rsidP="0021176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346F4" w:rsidRPr="0021176A" w:rsidRDefault="005346F4" w:rsidP="00676E12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 w:rsidRPr="0021176A">
        <w:rPr>
          <w:sz w:val="28"/>
          <w:szCs w:val="28"/>
        </w:rPr>
        <w:t>Уважаемый Николай Григорьевич!</w:t>
      </w:r>
    </w:p>
    <w:p w:rsidR="005346F4" w:rsidRPr="0021176A" w:rsidRDefault="005346F4" w:rsidP="0021176A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346F4" w:rsidRPr="0021176A" w:rsidRDefault="005346F4" w:rsidP="0021176A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21176A">
        <w:rPr>
          <w:rFonts w:ascii="Times New Roman" w:hAnsi="Times New Roman"/>
          <w:sz w:val="28"/>
          <w:szCs w:val="28"/>
        </w:rPr>
        <w:t xml:space="preserve">Большой процент потребителей электрической энергии на территории Российской Федерации относится к садоводческим, огородническим, дачным </w:t>
      </w:r>
      <w:r w:rsidR="00435235">
        <w:rPr>
          <w:rFonts w:ascii="Times New Roman" w:hAnsi="Times New Roman"/>
          <w:sz w:val="28"/>
          <w:szCs w:val="28"/>
        </w:rPr>
        <w:br/>
      </w:r>
      <w:r w:rsidRPr="0021176A">
        <w:rPr>
          <w:rFonts w:ascii="Times New Roman" w:hAnsi="Times New Roman"/>
          <w:sz w:val="28"/>
          <w:szCs w:val="28"/>
        </w:rPr>
        <w:t>и иным некоммерческим товариществам (потребительским кооперативам), созданным в целях ведения садоводства и огородничества гражданами для собственных нужд (далее – СНТ).</w:t>
      </w:r>
    </w:p>
    <w:p w:rsidR="005346F4" w:rsidRPr="0021176A" w:rsidRDefault="005346F4" w:rsidP="0021176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1176A">
        <w:rPr>
          <w:sz w:val="28"/>
          <w:szCs w:val="28"/>
        </w:rPr>
        <w:t xml:space="preserve">В соответствии с </w:t>
      </w:r>
      <w:r w:rsidR="00676E12">
        <w:rPr>
          <w:sz w:val="28"/>
          <w:szCs w:val="28"/>
        </w:rPr>
        <w:t>частью</w:t>
      </w:r>
      <w:r w:rsidRPr="0021176A">
        <w:rPr>
          <w:sz w:val="28"/>
          <w:szCs w:val="28"/>
        </w:rPr>
        <w:t xml:space="preserve"> 1 статьи 4</w:t>
      </w:r>
      <w:r w:rsidR="00676E12">
        <w:rPr>
          <w:sz w:val="28"/>
          <w:szCs w:val="28"/>
        </w:rPr>
        <w:t xml:space="preserve"> и</w:t>
      </w:r>
      <w:r w:rsidRPr="0021176A">
        <w:rPr>
          <w:sz w:val="28"/>
          <w:szCs w:val="28"/>
        </w:rPr>
        <w:t xml:space="preserve"> пунктом 1 статьи 7 Федерального закона</w:t>
      </w:r>
      <w:r w:rsidR="0021176A" w:rsidRPr="0021176A">
        <w:rPr>
          <w:sz w:val="28"/>
          <w:szCs w:val="28"/>
        </w:rPr>
        <w:t xml:space="preserve"> </w:t>
      </w:r>
      <w:r w:rsidRPr="0021176A">
        <w:rPr>
          <w:sz w:val="28"/>
          <w:szCs w:val="28"/>
        </w:rPr>
        <w:t>от 29 июля 2017 года №</w:t>
      </w:r>
      <w:r w:rsidR="000B4BA7">
        <w:rPr>
          <w:sz w:val="28"/>
          <w:szCs w:val="28"/>
        </w:rPr>
        <w:t> </w:t>
      </w:r>
      <w:r w:rsidRPr="0021176A">
        <w:rPr>
          <w:sz w:val="28"/>
          <w:szCs w:val="28"/>
        </w:rPr>
        <w:t xml:space="preserve">217-ФЗ </w:t>
      </w:r>
      <w:r w:rsidR="0021176A" w:rsidRPr="0021176A">
        <w:rPr>
          <w:sz w:val="28"/>
          <w:szCs w:val="28"/>
        </w:rPr>
        <w:t>"</w:t>
      </w:r>
      <w:r w:rsidRPr="0021176A">
        <w:rPr>
          <w:sz w:val="28"/>
          <w:szCs w:val="28"/>
        </w:rPr>
        <w:t xml:space="preserve">О ведении гражданами садоводства </w:t>
      </w:r>
      <w:r w:rsidR="000B4BA7">
        <w:rPr>
          <w:sz w:val="28"/>
          <w:szCs w:val="28"/>
        </w:rPr>
        <w:br/>
      </w:r>
      <w:r w:rsidRPr="0021176A">
        <w:rPr>
          <w:sz w:val="28"/>
          <w:szCs w:val="28"/>
        </w:rPr>
        <w:t>и огородничества для собственных нужд и о внесении изменений в отдельные законодательные акты Российской Федерации</w:t>
      </w:r>
      <w:r w:rsidR="0021176A" w:rsidRPr="0021176A">
        <w:rPr>
          <w:sz w:val="28"/>
          <w:szCs w:val="28"/>
        </w:rPr>
        <w:t>"</w:t>
      </w:r>
      <w:r w:rsidRPr="0021176A">
        <w:rPr>
          <w:sz w:val="28"/>
          <w:szCs w:val="28"/>
        </w:rPr>
        <w:t xml:space="preserve"> (далее – Федеральный закон №</w:t>
      </w:r>
      <w:r w:rsidR="000B4BA7">
        <w:rPr>
          <w:sz w:val="28"/>
          <w:szCs w:val="28"/>
        </w:rPr>
        <w:t> </w:t>
      </w:r>
      <w:r w:rsidRPr="0021176A">
        <w:rPr>
          <w:sz w:val="28"/>
          <w:szCs w:val="28"/>
        </w:rPr>
        <w:t xml:space="preserve">217-ФЗ) СНТ – некоммерческая организация, учрежденная гражданами </w:t>
      </w:r>
      <w:r w:rsidR="000B4BA7">
        <w:rPr>
          <w:sz w:val="28"/>
          <w:szCs w:val="28"/>
        </w:rPr>
        <w:br/>
      </w:r>
      <w:r w:rsidRPr="0021176A">
        <w:rPr>
          <w:sz w:val="28"/>
          <w:szCs w:val="28"/>
        </w:rPr>
        <w:t xml:space="preserve">на добровольных началах для содействия ее членам в решении общих </w:t>
      </w:r>
      <w:r w:rsidRPr="000B4BA7">
        <w:rPr>
          <w:spacing w:val="-2"/>
          <w:sz w:val="28"/>
          <w:szCs w:val="28"/>
        </w:rPr>
        <w:t>социально-хозяйственных задач ведения садоводства, огородничества и дачного</w:t>
      </w:r>
      <w:r w:rsidRPr="0021176A">
        <w:rPr>
          <w:sz w:val="28"/>
          <w:szCs w:val="28"/>
        </w:rPr>
        <w:t xml:space="preserve"> хозяйства. </w:t>
      </w:r>
      <w:r w:rsidR="000B4BA7">
        <w:rPr>
          <w:sz w:val="28"/>
          <w:szCs w:val="28"/>
        </w:rPr>
        <w:t>Также</w:t>
      </w:r>
      <w:r w:rsidRPr="0021176A">
        <w:rPr>
          <w:sz w:val="28"/>
          <w:szCs w:val="28"/>
        </w:rPr>
        <w:t xml:space="preserve"> СНТ осуществляет организацию обеспечения тепловой и</w:t>
      </w:r>
      <w:r w:rsidR="000B4BA7">
        <w:rPr>
          <w:sz w:val="28"/>
          <w:szCs w:val="28"/>
        </w:rPr>
        <w:t> </w:t>
      </w:r>
      <w:r w:rsidRPr="0021176A">
        <w:rPr>
          <w:sz w:val="28"/>
          <w:szCs w:val="28"/>
        </w:rPr>
        <w:t xml:space="preserve">электрической энергией. </w:t>
      </w:r>
    </w:p>
    <w:p w:rsidR="005346F4" w:rsidRPr="0021176A" w:rsidRDefault="005346F4" w:rsidP="0021176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1176A">
        <w:rPr>
          <w:sz w:val="28"/>
          <w:szCs w:val="28"/>
        </w:rPr>
        <w:t>В отношениях с гарантирующим поставщиком электрической энергии</w:t>
      </w:r>
      <w:r w:rsidR="0021176A" w:rsidRPr="0021176A">
        <w:rPr>
          <w:sz w:val="28"/>
          <w:szCs w:val="28"/>
        </w:rPr>
        <w:t xml:space="preserve"> </w:t>
      </w:r>
      <w:r w:rsidRPr="0021176A">
        <w:rPr>
          <w:sz w:val="28"/>
          <w:szCs w:val="28"/>
        </w:rPr>
        <w:t xml:space="preserve">СНТ выступает в качестве посредника, приобретающего электрическую энергию в интересах членов садоводства, а также на общие нужды садоводства (например, уличное освещение), то есть является исполнителем коммунальной услуги, а не ее потребителем. </w:t>
      </w:r>
    </w:p>
    <w:p w:rsidR="005346F4" w:rsidRPr="0021176A" w:rsidRDefault="005346F4" w:rsidP="0021176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1176A">
        <w:rPr>
          <w:sz w:val="28"/>
          <w:szCs w:val="28"/>
        </w:rPr>
        <w:t>В последние годы наблюдается существенный рост задолженности СНТ перед поставщиками электрической энергии. Одной из</w:t>
      </w:r>
      <w:r w:rsidR="0021176A" w:rsidRPr="0021176A">
        <w:rPr>
          <w:sz w:val="28"/>
          <w:szCs w:val="28"/>
        </w:rPr>
        <w:t xml:space="preserve"> </w:t>
      </w:r>
      <w:r w:rsidRPr="0021176A">
        <w:rPr>
          <w:sz w:val="28"/>
          <w:szCs w:val="28"/>
        </w:rPr>
        <w:t xml:space="preserve">основных причин роста задолженности является отсутствие контроля за соблюдением платежной дисциплины со стороны органов управления СНТ. До членов СНТ не доводится </w:t>
      </w:r>
      <w:r w:rsidRPr="0021176A">
        <w:rPr>
          <w:sz w:val="28"/>
          <w:szCs w:val="28"/>
        </w:rPr>
        <w:lastRenderedPageBreak/>
        <w:t xml:space="preserve">информация о наличии задолженности и ее размере, не ведется претензионная работа и т.д. </w:t>
      </w:r>
    </w:p>
    <w:p w:rsidR="005346F4" w:rsidRPr="0021176A" w:rsidRDefault="005346F4" w:rsidP="0021176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1176A">
        <w:rPr>
          <w:sz w:val="28"/>
          <w:szCs w:val="28"/>
        </w:rPr>
        <w:t xml:space="preserve">Судебное взыскание задолженности не является эффективным способом, так как СНТ, выступая в качестве некоммерческой организации, не обладают активами, за счет которых возможно погашение задолженности, </w:t>
      </w:r>
      <w:r w:rsidR="000B4BA7">
        <w:rPr>
          <w:sz w:val="28"/>
          <w:szCs w:val="28"/>
        </w:rPr>
        <w:br/>
      </w:r>
      <w:r w:rsidRPr="0021176A">
        <w:rPr>
          <w:sz w:val="28"/>
          <w:szCs w:val="28"/>
        </w:rPr>
        <w:t>а исполнительные производства оканчиваются по причине невозможности исполнения судебного акта.</w:t>
      </w:r>
      <w:r w:rsidR="0021176A" w:rsidRPr="0021176A">
        <w:rPr>
          <w:sz w:val="28"/>
          <w:szCs w:val="28"/>
        </w:rPr>
        <w:t xml:space="preserve"> </w:t>
      </w:r>
    </w:p>
    <w:p w:rsidR="005346F4" w:rsidRPr="0021176A" w:rsidRDefault="005346F4" w:rsidP="0021176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1176A">
        <w:rPr>
          <w:sz w:val="28"/>
          <w:szCs w:val="28"/>
        </w:rPr>
        <w:t>Одним из возможных способов решения сложившейся ситуации является переход членов СНТ на прямые договорные отношения с гарантирующим поставщиком, что в свою очередь позволит:</w:t>
      </w:r>
    </w:p>
    <w:p w:rsidR="005346F4" w:rsidRPr="0021176A" w:rsidRDefault="005346F4" w:rsidP="0021176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1176A">
        <w:rPr>
          <w:sz w:val="28"/>
          <w:szCs w:val="28"/>
        </w:rPr>
        <w:t>обеспечить открытость и доступность для каждого члена СНТ информации о порядке расчетов;</w:t>
      </w:r>
    </w:p>
    <w:p w:rsidR="005346F4" w:rsidRPr="0021176A" w:rsidRDefault="005346F4" w:rsidP="0021176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1176A">
        <w:rPr>
          <w:sz w:val="28"/>
          <w:szCs w:val="28"/>
        </w:rPr>
        <w:t>вести своевременную и эффективную претензионную работу;</w:t>
      </w:r>
    </w:p>
    <w:p w:rsidR="005346F4" w:rsidRPr="0021176A" w:rsidRDefault="005346F4" w:rsidP="0021176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1176A">
        <w:rPr>
          <w:sz w:val="28"/>
          <w:szCs w:val="28"/>
        </w:rPr>
        <w:t>ограничивать потребление электрической энергии в случае несвоевременной оплаты.</w:t>
      </w:r>
    </w:p>
    <w:p w:rsidR="005346F4" w:rsidRPr="0021176A" w:rsidRDefault="005346F4" w:rsidP="0021176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1176A">
        <w:rPr>
          <w:sz w:val="28"/>
          <w:szCs w:val="28"/>
        </w:rPr>
        <w:t xml:space="preserve">Пунктом 34 Основных положений функционирования розничных рынков электрической энергии, утвержденных постановлением Правительства Российской Федерации от 4 мая 2012 года № 442 (далее – </w:t>
      </w:r>
      <w:r w:rsidR="000B4BA7">
        <w:rPr>
          <w:sz w:val="28"/>
          <w:szCs w:val="28"/>
        </w:rPr>
        <w:t>О</w:t>
      </w:r>
      <w:r w:rsidRPr="0021176A">
        <w:rPr>
          <w:sz w:val="28"/>
          <w:szCs w:val="28"/>
        </w:rPr>
        <w:t xml:space="preserve">сновные положения) предусмотрена возможность перехода конкретных членов СНТ </w:t>
      </w:r>
      <w:r w:rsidR="00435235">
        <w:rPr>
          <w:sz w:val="28"/>
          <w:szCs w:val="28"/>
        </w:rPr>
        <w:br/>
      </w:r>
      <w:r w:rsidRPr="0021176A">
        <w:rPr>
          <w:sz w:val="28"/>
          <w:szCs w:val="28"/>
        </w:rPr>
        <w:t xml:space="preserve">на </w:t>
      </w:r>
      <w:r w:rsidR="0021176A" w:rsidRPr="0021176A">
        <w:rPr>
          <w:sz w:val="28"/>
          <w:szCs w:val="28"/>
        </w:rPr>
        <w:t>"</w:t>
      </w:r>
      <w:r w:rsidRPr="0021176A">
        <w:rPr>
          <w:sz w:val="28"/>
          <w:szCs w:val="28"/>
        </w:rPr>
        <w:t>прямые договоры</w:t>
      </w:r>
      <w:r w:rsidR="0021176A" w:rsidRPr="0021176A">
        <w:rPr>
          <w:sz w:val="28"/>
          <w:szCs w:val="28"/>
        </w:rPr>
        <w:t>"</w:t>
      </w:r>
      <w:r w:rsidRPr="0021176A">
        <w:rPr>
          <w:sz w:val="28"/>
          <w:szCs w:val="28"/>
        </w:rPr>
        <w:t xml:space="preserve"> энергоснабжения с гарантирующим поставщиком (при</w:t>
      </w:r>
      <w:r w:rsidR="00435235">
        <w:rPr>
          <w:sz w:val="28"/>
          <w:szCs w:val="28"/>
        </w:rPr>
        <w:t> </w:t>
      </w:r>
      <w:r w:rsidRPr="0021176A">
        <w:rPr>
          <w:sz w:val="28"/>
          <w:szCs w:val="28"/>
        </w:rPr>
        <w:t xml:space="preserve">сохранении общего договора с СНТ). </w:t>
      </w:r>
    </w:p>
    <w:p w:rsidR="005346F4" w:rsidRPr="0021176A" w:rsidRDefault="005346F4" w:rsidP="0021176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1176A">
        <w:rPr>
          <w:sz w:val="28"/>
          <w:szCs w:val="28"/>
        </w:rPr>
        <w:t xml:space="preserve">Члены СНТ вправе по своей инициативе подать гарантирующему поставщику заявку на заключение договора энергоснабжения своего домовладения с приложением </w:t>
      </w:r>
      <w:r w:rsidR="0021176A" w:rsidRPr="0021176A">
        <w:rPr>
          <w:sz w:val="28"/>
          <w:szCs w:val="28"/>
        </w:rPr>
        <w:t>"</w:t>
      </w:r>
      <w:r w:rsidRPr="0021176A">
        <w:rPr>
          <w:sz w:val="28"/>
          <w:szCs w:val="28"/>
        </w:rPr>
        <w:t>упрощенного</w:t>
      </w:r>
      <w:r w:rsidR="0021176A" w:rsidRPr="0021176A">
        <w:rPr>
          <w:sz w:val="28"/>
          <w:szCs w:val="28"/>
        </w:rPr>
        <w:t>"</w:t>
      </w:r>
      <w:r w:rsidRPr="0021176A">
        <w:rPr>
          <w:sz w:val="28"/>
          <w:szCs w:val="28"/>
        </w:rPr>
        <w:t xml:space="preserve"> набора документов (в части подтверждения технологического присоединения).</w:t>
      </w:r>
      <w:r w:rsidR="0021176A" w:rsidRPr="0021176A">
        <w:rPr>
          <w:sz w:val="28"/>
          <w:szCs w:val="28"/>
        </w:rPr>
        <w:t xml:space="preserve"> </w:t>
      </w:r>
      <w:r w:rsidRPr="0021176A">
        <w:rPr>
          <w:sz w:val="28"/>
          <w:szCs w:val="28"/>
        </w:rPr>
        <w:t xml:space="preserve">В таком случае гарантирующий поставщик не вправе отказать члену СНТ в заключении </w:t>
      </w:r>
      <w:r w:rsidR="0021176A" w:rsidRPr="0021176A">
        <w:rPr>
          <w:sz w:val="28"/>
          <w:szCs w:val="28"/>
        </w:rPr>
        <w:t>"</w:t>
      </w:r>
      <w:r w:rsidRPr="0021176A">
        <w:rPr>
          <w:sz w:val="28"/>
          <w:szCs w:val="28"/>
        </w:rPr>
        <w:t>прямого договора</w:t>
      </w:r>
      <w:r w:rsidR="0021176A" w:rsidRPr="0021176A">
        <w:rPr>
          <w:sz w:val="28"/>
          <w:szCs w:val="28"/>
        </w:rPr>
        <w:t>"</w:t>
      </w:r>
      <w:r w:rsidRPr="0021176A">
        <w:rPr>
          <w:sz w:val="28"/>
          <w:szCs w:val="28"/>
        </w:rPr>
        <w:t xml:space="preserve">. </w:t>
      </w:r>
    </w:p>
    <w:p w:rsidR="005346F4" w:rsidRPr="0021176A" w:rsidRDefault="005346F4" w:rsidP="0021176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1176A">
        <w:rPr>
          <w:sz w:val="28"/>
          <w:szCs w:val="28"/>
        </w:rPr>
        <w:t>Таким образом, прямые договорные взаимоотношения между гарантирующим поставщиком и членом СНТ возможны только в случае волеизъявления последнего.</w:t>
      </w:r>
      <w:r w:rsidR="0021176A" w:rsidRPr="0021176A">
        <w:rPr>
          <w:sz w:val="28"/>
          <w:szCs w:val="28"/>
        </w:rPr>
        <w:t xml:space="preserve"> </w:t>
      </w:r>
      <w:r w:rsidRPr="0021176A">
        <w:rPr>
          <w:sz w:val="28"/>
          <w:szCs w:val="28"/>
        </w:rPr>
        <w:t xml:space="preserve"> </w:t>
      </w:r>
    </w:p>
    <w:p w:rsidR="005346F4" w:rsidRPr="0021176A" w:rsidRDefault="005346F4" w:rsidP="0021176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1176A">
        <w:rPr>
          <w:sz w:val="28"/>
          <w:szCs w:val="28"/>
        </w:rPr>
        <w:t xml:space="preserve">Действующее правовое регулирование не предусматривает права для гарантирующего поставщика при наличии подтвержденной судебным актом задолженности у СНТ отказаться в одностороннем порядке от договора энергоснабжения с последующим переходом на прямые взаимоотношения </w:t>
      </w:r>
      <w:r w:rsidR="00435235">
        <w:rPr>
          <w:sz w:val="28"/>
          <w:szCs w:val="28"/>
        </w:rPr>
        <w:br/>
      </w:r>
      <w:r w:rsidRPr="0021176A">
        <w:rPr>
          <w:sz w:val="28"/>
          <w:szCs w:val="28"/>
        </w:rPr>
        <w:t xml:space="preserve">с членами СНТ, так как такой отказ может нарушить права добросовестных потребителей коммунальных услуг. </w:t>
      </w:r>
    </w:p>
    <w:p w:rsidR="005346F4" w:rsidRPr="0021176A" w:rsidRDefault="005346F4" w:rsidP="0021176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1176A">
        <w:rPr>
          <w:sz w:val="28"/>
          <w:szCs w:val="28"/>
        </w:rPr>
        <w:t xml:space="preserve">Вместе с тем в случаях, когда лица, управляющие многоквартирным домом, нарушают свои обязательства по оплате перед ресурсоснабжающими организациями, такой механизм предусмотрен в Жилищном кодексе Российской Федерации (далее – ЖК РФ). </w:t>
      </w:r>
    </w:p>
    <w:p w:rsidR="005346F4" w:rsidRPr="0021176A" w:rsidRDefault="005346F4" w:rsidP="0021176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1176A">
        <w:rPr>
          <w:sz w:val="28"/>
          <w:szCs w:val="28"/>
        </w:rPr>
        <w:t>Часть 2 статьи 157</w:t>
      </w:r>
      <w:r w:rsidRPr="0021176A">
        <w:rPr>
          <w:sz w:val="28"/>
          <w:szCs w:val="28"/>
          <w:vertAlign w:val="superscript"/>
        </w:rPr>
        <w:t>2</w:t>
      </w:r>
      <w:r w:rsidRPr="0021176A">
        <w:rPr>
          <w:sz w:val="28"/>
          <w:szCs w:val="28"/>
        </w:rPr>
        <w:t xml:space="preserve"> ЖК РФ предусматривает отказ ресурсоснабжающей организации от исполнения заключенного с лицом, осуществляющим управление многоквартирным домом, договора ресурсоснабжения при наличии у этого лица признанной им или подтвержденной вступившим в законную силу </w:t>
      </w:r>
      <w:r w:rsidRPr="0021176A">
        <w:rPr>
          <w:sz w:val="28"/>
          <w:szCs w:val="28"/>
        </w:rPr>
        <w:lastRenderedPageBreak/>
        <w:t xml:space="preserve">судебным актом задолженности перед ресурсоснабжающей организацией </w:t>
      </w:r>
      <w:r w:rsidR="00435235">
        <w:rPr>
          <w:sz w:val="28"/>
          <w:szCs w:val="28"/>
        </w:rPr>
        <w:br/>
      </w:r>
      <w:r w:rsidRPr="0021176A">
        <w:rPr>
          <w:sz w:val="28"/>
          <w:szCs w:val="28"/>
        </w:rPr>
        <w:t>в размере, равном или превышающем две среднемесячные величины обязательств по оплате по договору ресурсоснабжения.</w:t>
      </w:r>
    </w:p>
    <w:p w:rsidR="005346F4" w:rsidRPr="0021176A" w:rsidRDefault="005346F4" w:rsidP="0021176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1176A">
        <w:rPr>
          <w:sz w:val="28"/>
          <w:szCs w:val="28"/>
        </w:rPr>
        <w:t>Согласно части 6 статьи 157</w:t>
      </w:r>
      <w:r w:rsidRPr="0021176A">
        <w:rPr>
          <w:sz w:val="28"/>
          <w:szCs w:val="28"/>
          <w:vertAlign w:val="superscript"/>
        </w:rPr>
        <w:t>2</w:t>
      </w:r>
      <w:r w:rsidRPr="0021176A">
        <w:rPr>
          <w:sz w:val="28"/>
          <w:szCs w:val="28"/>
        </w:rPr>
        <w:t xml:space="preserve"> ЖК РФ заключение договора на оказание коммунальных услуг в письменной форме не требуется. Договор считается заключенным в соответствии с типовыми договорами, утвержденными Правительством Российской Федерации. </w:t>
      </w:r>
    </w:p>
    <w:p w:rsidR="005346F4" w:rsidRPr="0021176A" w:rsidRDefault="005346F4" w:rsidP="0021176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1176A">
        <w:rPr>
          <w:sz w:val="28"/>
          <w:szCs w:val="28"/>
        </w:rPr>
        <w:t xml:space="preserve">Предлагаем рассмотреть возможность внесения изменений в </w:t>
      </w:r>
      <w:r w:rsidR="00435235">
        <w:rPr>
          <w:sz w:val="28"/>
          <w:szCs w:val="28"/>
        </w:rPr>
        <w:t>О</w:t>
      </w:r>
      <w:r w:rsidRPr="0021176A">
        <w:rPr>
          <w:sz w:val="28"/>
          <w:szCs w:val="28"/>
        </w:rPr>
        <w:t xml:space="preserve">сновные положения в части наделения гарантирующих поставщиков правом </w:t>
      </w:r>
      <w:r w:rsidR="00435235">
        <w:rPr>
          <w:sz w:val="28"/>
          <w:szCs w:val="28"/>
        </w:rPr>
        <w:br/>
      </w:r>
      <w:r w:rsidRPr="0021176A">
        <w:rPr>
          <w:sz w:val="28"/>
          <w:szCs w:val="28"/>
        </w:rPr>
        <w:t>на односторонний отказ от договора энергоснабжения с СНТ при наличии подтвержденной судом задолженности в размере, превышающе</w:t>
      </w:r>
      <w:r w:rsidR="00464B87">
        <w:rPr>
          <w:sz w:val="28"/>
          <w:szCs w:val="28"/>
        </w:rPr>
        <w:t>м</w:t>
      </w:r>
      <w:r w:rsidRPr="0021176A">
        <w:rPr>
          <w:sz w:val="28"/>
          <w:szCs w:val="28"/>
        </w:rPr>
        <w:t xml:space="preserve"> двухмесячный объем потребления по договору энергоснабжения. При этом необходимо нормативно определить, что с момента расторжения договора с СНТ в части поставки электрической энергии</w:t>
      </w:r>
      <w:r w:rsidR="0021176A" w:rsidRPr="0021176A">
        <w:rPr>
          <w:sz w:val="28"/>
          <w:szCs w:val="28"/>
        </w:rPr>
        <w:t xml:space="preserve"> </w:t>
      </w:r>
      <w:r w:rsidRPr="0021176A">
        <w:rPr>
          <w:sz w:val="28"/>
          <w:szCs w:val="28"/>
        </w:rPr>
        <w:t xml:space="preserve">договоры энергоснабжения считаются заключенными между гарантирующим поставщиком и членами СНТ. </w:t>
      </w:r>
    </w:p>
    <w:p w:rsidR="005346F4" w:rsidRPr="0021176A" w:rsidRDefault="005346F4" w:rsidP="0021176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1176A">
        <w:rPr>
          <w:sz w:val="28"/>
          <w:szCs w:val="28"/>
        </w:rPr>
        <w:t xml:space="preserve">Предложенные изменения направлены на соблюдение баланса интересов </w:t>
      </w:r>
      <w:r w:rsidRPr="00435235">
        <w:rPr>
          <w:spacing w:val="-2"/>
          <w:sz w:val="28"/>
          <w:szCs w:val="28"/>
        </w:rPr>
        <w:t>между ресурсоснабжающими организациями и потребителями электроэнергии</w:t>
      </w:r>
      <w:r w:rsidR="00435235">
        <w:rPr>
          <w:spacing w:val="-2"/>
          <w:sz w:val="28"/>
          <w:szCs w:val="28"/>
        </w:rPr>
        <w:t xml:space="preserve"> </w:t>
      </w:r>
      <w:r w:rsidRPr="00435235">
        <w:rPr>
          <w:spacing w:val="-2"/>
          <w:sz w:val="28"/>
          <w:szCs w:val="28"/>
        </w:rPr>
        <w:t>–</w:t>
      </w:r>
      <w:r w:rsidRPr="0021176A">
        <w:rPr>
          <w:sz w:val="28"/>
          <w:szCs w:val="28"/>
        </w:rPr>
        <w:t xml:space="preserve"> членами СНТ.</w:t>
      </w:r>
    </w:p>
    <w:p w:rsidR="001E282B" w:rsidRPr="0021176A" w:rsidRDefault="001E282B" w:rsidP="0021176A">
      <w:pPr>
        <w:ind w:firstLine="709"/>
        <w:jc w:val="both"/>
        <w:rPr>
          <w:sz w:val="28"/>
        </w:rPr>
      </w:pPr>
    </w:p>
    <w:sectPr w:rsidR="001E282B" w:rsidRPr="0021176A" w:rsidSect="000B4BA7">
      <w:pgSz w:w="11906" w:h="16838"/>
      <w:pgMar w:top="1134" w:right="737" w:bottom="1134" w:left="153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7A6D" w:rsidRDefault="00F37A6D" w:rsidP="000B4BA7">
      <w:r>
        <w:separator/>
      </w:r>
    </w:p>
  </w:endnote>
  <w:endnote w:type="continuationSeparator" w:id="0">
    <w:p w:rsidR="00F37A6D" w:rsidRDefault="00F37A6D" w:rsidP="000B4B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7A6D" w:rsidRDefault="00F37A6D" w:rsidP="000B4BA7">
      <w:r>
        <w:separator/>
      </w:r>
    </w:p>
  </w:footnote>
  <w:footnote w:type="continuationSeparator" w:id="0">
    <w:p w:rsidR="00F37A6D" w:rsidRDefault="00F37A6D" w:rsidP="000B4B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941998"/>
      <w:docPartObj>
        <w:docPartGallery w:val="Page Numbers (Top of Page)"/>
        <w:docPartUnique/>
      </w:docPartObj>
    </w:sdtPr>
    <w:sdtEndPr>
      <w:rPr>
        <w:sz w:val="24"/>
      </w:rPr>
    </w:sdtEndPr>
    <w:sdtContent>
      <w:p w:rsidR="000B4BA7" w:rsidRPr="000B4BA7" w:rsidRDefault="00015754">
        <w:pPr>
          <w:pStyle w:val="a6"/>
          <w:jc w:val="right"/>
          <w:rPr>
            <w:sz w:val="24"/>
          </w:rPr>
        </w:pPr>
        <w:r w:rsidRPr="000B4BA7">
          <w:rPr>
            <w:sz w:val="24"/>
          </w:rPr>
          <w:fldChar w:fldCharType="begin"/>
        </w:r>
        <w:r w:rsidR="000B4BA7" w:rsidRPr="000B4BA7">
          <w:rPr>
            <w:sz w:val="24"/>
          </w:rPr>
          <w:instrText xml:space="preserve"> PAGE   \* MERGEFORMAT </w:instrText>
        </w:r>
        <w:r w:rsidRPr="000B4BA7">
          <w:rPr>
            <w:sz w:val="24"/>
          </w:rPr>
          <w:fldChar w:fldCharType="separate"/>
        </w:r>
        <w:r w:rsidR="00F12E7E">
          <w:rPr>
            <w:noProof/>
            <w:sz w:val="24"/>
          </w:rPr>
          <w:t>2</w:t>
        </w:r>
        <w:r w:rsidRPr="000B4BA7">
          <w:rPr>
            <w:sz w:val="24"/>
          </w:rPr>
          <w:fldChar w:fldCharType="end"/>
        </w:r>
      </w:p>
    </w:sdtContent>
  </w:sdt>
  <w:p w:rsidR="000B4BA7" w:rsidRPr="000B4BA7" w:rsidRDefault="000B4BA7">
    <w:pPr>
      <w:pStyle w:val="a6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134B12"/>
    <w:multiLevelType w:val="hybridMultilevel"/>
    <w:tmpl w:val="90A6AEFA"/>
    <w:lvl w:ilvl="0" w:tplc="4968B39A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346F4"/>
    <w:rsid w:val="00015754"/>
    <w:rsid w:val="000A5D2E"/>
    <w:rsid w:val="000B4BA7"/>
    <w:rsid w:val="001E282B"/>
    <w:rsid w:val="0021176A"/>
    <w:rsid w:val="0040161C"/>
    <w:rsid w:val="00435235"/>
    <w:rsid w:val="00444FA5"/>
    <w:rsid w:val="00464B87"/>
    <w:rsid w:val="005346F4"/>
    <w:rsid w:val="00676E12"/>
    <w:rsid w:val="00684552"/>
    <w:rsid w:val="00892C1B"/>
    <w:rsid w:val="008A6938"/>
    <w:rsid w:val="00B04A7F"/>
    <w:rsid w:val="00B44138"/>
    <w:rsid w:val="00B916FF"/>
    <w:rsid w:val="00BE3B14"/>
    <w:rsid w:val="00C94646"/>
    <w:rsid w:val="00CD3C69"/>
    <w:rsid w:val="00F12E7E"/>
    <w:rsid w:val="00F37A6D"/>
    <w:rsid w:val="00FB5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AB9929"/>
  <w15:docId w15:val="{81ED9D01-2862-4E02-8706-6DD21621E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413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346F4"/>
    <w:pPr>
      <w:spacing w:before="100" w:beforeAutospacing="1" w:after="100" w:afterAutospacing="1"/>
    </w:pPr>
  </w:style>
  <w:style w:type="paragraph" w:styleId="3">
    <w:name w:val="Body Text 3"/>
    <w:basedOn w:val="a"/>
    <w:link w:val="30"/>
    <w:rsid w:val="005346F4"/>
    <w:pPr>
      <w:overflowPunct w:val="0"/>
      <w:autoSpaceDE w:val="0"/>
      <w:autoSpaceDN w:val="0"/>
      <w:adjustRightInd w:val="0"/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5346F4"/>
    <w:rPr>
      <w:sz w:val="16"/>
      <w:szCs w:val="16"/>
    </w:rPr>
  </w:style>
  <w:style w:type="paragraph" w:styleId="a4">
    <w:name w:val="List Paragraph"/>
    <w:basedOn w:val="a"/>
    <w:uiPriority w:val="34"/>
    <w:qFormat/>
    <w:rsid w:val="005346F4"/>
    <w:pPr>
      <w:ind w:left="708"/>
    </w:pPr>
  </w:style>
  <w:style w:type="paragraph" w:styleId="a5">
    <w:name w:val="No Spacing"/>
    <w:uiPriority w:val="1"/>
    <w:qFormat/>
    <w:rsid w:val="005346F4"/>
    <w:rPr>
      <w:rFonts w:ascii="Calibri" w:eastAsia="Calibri" w:hAnsi="Calibri"/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unhideWhenUsed/>
    <w:rsid w:val="0021176A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21176A"/>
    <w:rPr>
      <w:sz w:val="28"/>
    </w:rPr>
  </w:style>
  <w:style w:type="paragraph" w:styleId="2">
    <w:name w:val="Body Text Indent 2"/>
    <w:basedOn w:val="a"/>
    <w:link w:val="20"/>
    <w:uiPriority w:val="99"/>
    <w:semiHidden/>
    <w:unhideWhenUsed/>
    <w:rsid w:val="00676E1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676E12"/>
    <w:rPr>
      <w:sz w:val="24"/>
      <w:szCs w:val="24"/>
    </w:rPr>
  </w:style>
  <w:style w:type="paragraph" w:styleId="a8">
    <w:name w:val="Body Text Indent"/>
    <w:basedOn w:val="a"/>
    <w:link w:val="a9"/>
    <w:uiPriority w:val="99"/>
    <w:semiHidden/>
    <w:unhideWhenUsed/>
    <w:rsid w:val="00676E12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676E12"/>
    <w:rPr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0B4BA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B4BA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1089</Words>
  <Characters>6208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Garant</Company>
  <LinksUpToDate>false</LinksUpToDate>
  <CharactersWithSpaces>7283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</dc:creator>
  <cp:lastModifiedBy>Науменко Дарья Юрьевна</cp:lastModifiedBy>
  <cp:revision>4</cp:revision>
  <cp:lastPrinted>2021-06-01T12:16:00Z</cp:lastPrinted>
  <dcterms:created xsi:type="dcterms:W3CDTF">2022-04-29T12:00:00Z</dcterms:created>
  <dcterms:modified xsi:type="dcterms:W3CDTF">2022-04-29T12:36:00Z</dcterms:modified>
</cp:coreProperties>
</file>